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评分标准细则</w:t>
      </w:r>
    </w:p>
    <w:p>
      <w:pPr>
        <w:pStyle w:val="5"/>
        <w:numPr>
          <w:ilvl w:val="0"/>
          <w:numId w:val="1"/>
        </w:numPr>
        <w:spacing w:line="360" w:lineRule="auto"/>
        <w:ind w:left="900" w:hanging="480" w:firstLineChars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价格分（客观分）</w:t>
      </w:r>
    </w:p>
    <w:tbl>
      <w:tblPr>
        <w:tblStyle w:val="6"/>
        <w:tblW w:w="9356" w:type="dxa"/>
        <w:tblInd w:w="-20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4"/>
        <w:gridCol w:w="1417"/>
        <w:gridCol w:w="5245"/>
        <w:gridCol w:w="85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项目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评审项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因素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分值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价格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TW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分)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价格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before="93" w:beforeLines="30" w:after="93" w:afterLines="30" w:line="276" w:lineRule="auto"/>
              <w:jc w:val="left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价格分=（评标基准价/投标报价）×10</w:t>
            </w:r>
          </w:p>
          <w:p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before="93" w:beforeLines="30" w:after="93" w:afterLines="30" w:line="276" w:lineRule="auto"/>
              <w:jc w:val="left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评标基准价：满足招标文件要求且投标价格最低的投标报价。</w:t>
            </w:r>
          </w:p>
          <w:p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before="93" w:beforeLines="30" w:after="93" w:afterLines="30" w:line="276" w:lineRule="auto"/>
              <w:jc w:val="left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注:对小型和微型企业产品的价格给予10%的扣除,用扣除后的价格参与评审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 w:eastAsia="zh-TW"/>
              </w:rPr>
              <w:t>10</w:t>
            </w:r>
          </w:p>
        </w:tc>
      </w:tr>
    </w:tbl>
    <w:p>
      <w:pPr>
        <w:spacing w:line="360" w:lineRule="auto"/>
        <w:rPr>
          <w:rFonts w:ascii="仿宋_GB2312" w:hAnsi="UMWEKG+»ªÎÄÏ¸ºÚ" w:eastAsia="仿宋_GB2312" w:cs="UMWEKG+»ªÎÄÏ¸ºÚ"/>
          <w:color w:val="000000"/>
          <w:sz w:val="24"/>
        </w:rPr>
      </w:pPr>
    </w:p>
    <w:p>
      <w:pPr>
        <w:pStyle w:val="5"/>
        <w:numPr>
          <w:ilvl w:val="0"/>
          <w:numId w:val="1"/>
        </w:numPr>
        <w:spacing w:line="360" w:lineRule="auto"/>
        <w:ind w:left="900" w:hanging="480" w:firstLineChars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技术评分（主观分）</w:t>
      </w:r>
    </w:p>
    <w:p/>
    <w:tbl>
      <w:tblPr>
        <w:tblStyle w:val="6"/>
        <w:tblW w:w="9356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4"/>
        <w:gridCol w:w="1417"/>
        <w:gridCol w:w="524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序号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项目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评审项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因素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分)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对拟监理项目理解分析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（6分）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对拟监理项目理解分析完整准确，全面合理，针对性强，理解项目需求，得6分；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对拟监理项目理解分析较为完整准确，较为全面合理，针对性较强，较为理解项目需求，得4分；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对拟监理项目理解分析完整准确性一般，全面合理性一般，针对性一般，项目需求理解性一般，得2分；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对拟监理项目理解分析完整准确性较差，全面合理性较差，针对性较差，项目需求理解性较差，得0分；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对拟监理项目重点难点分析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（8分）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针对拟监理项目重点部位及施工难点，需明确具体措施的重点并进行说明和提出切实可行的操作建议。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内容完整详细、针对性强、可操作性强，得8分；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内容较为完整详细、针对性较强、可操作性较强，得5分；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内容完整详细性一般、针对性一般、可操作性一般，得2分；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内容完整详细性较差、针对性较差、可操作性差，得0分；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监理工作流程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（8分）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监理工作流程理解分析完整详细、针对性强、可操作性强、理解项目需求，得8分；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监理工作流程理解分析较为完整详细、针对性较强、可操作性较强、较为理解项目需求，得5分；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监理工作流程理解分析完整详细性一般、针对性一般、可操作性一般、项目需求理解性一般，得2分；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监理工作流程理解分析完整详细性较差、针对性较差、可操作性较差，得0分；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质量控制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质量控制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质量控制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质量控制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进度控制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（4分）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进度控制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进度控制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进度控制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投资控制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投资控制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投资控制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投资控制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安全管理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安全管理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安全管理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安全管理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措施完整详细性较差、针对性较差、可操作性较差，得0分；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合同及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文档管理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合同及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文档管理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合同及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文档管理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合同及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文档管理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组织协调（4分）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组织协调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方案完整详细、针对性强、可操作性强，得4分；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组织协调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方案完整详细性一般、针对性一般、可操作性一般，得2分；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组织协调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方案完整详细性较差、针对性较差、可操作性较差，得0分；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各阶段监理服务细则（4分）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各阶段监理服务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细则完整详细、针对性强、可操作性强，得4分；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各阶段监理服务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细则完整详细性一般、针对性一般、可操作性一般，得2分；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各阶段监理服务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细则完整详细性较差、针对性较差、可操作性较差，得0分；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</w:tr>
    </w:tbl>
    <w:p>
      <w:pPr>
        <w:pStyle w:val="7"/>
      </w:pPr>
    </w:p>
    <w:p>
      <w:pPr>
        <w:pStyle w:val="5"/>
        <w:numPr>
          <w:ilvl w:val="0"/>
          <w:numId w:val="1"/>
        </w:numPr>
        <w:spacing w:line="360" w:lineRule="auto"/>
        <w:ind w:left="900" w:hanging="480" w:firstLineChars="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商务评分（客观分）</w:t>
      </w:r>
    </w:p>
    <w:tbl>
      <w:tblPr>
        <w:tblStyle w:val="6"/>
        <w:tblW w:w="9356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34"/>
        <w:gridCol w:w="1417"/>
        <w:gridCol w:w="524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序号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项目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评审项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/>
              </w:rPr>
              <w:t>因素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zh-TW" w:eastAsia="zh-TW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商务部分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分）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供应商相关履约能力（17分）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投标人具有有效的：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1.ISO27001信息安全体系认证（覆盖范围包括信息系统工程监理）；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2.ISO20000信息技术服务管理体系认证（覆盖范围包括信息系统工程监理）；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3.ISO9001质量管理体系认证（覆盖范围包括信息系统工程监理）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4.ISO14001环境管理体系认证（覆盖范围包括信息系统工程监理）</w:t>
            </w:r>
          </w:p>
          <w:p>
            <w:pPr>
              <w:pStyle w:val="2"/>
              <w:spacing w:after="0"/>
              <w:rPr>
                <w:rFonts w:ascii="宋体" w:hAnsi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TW"/>
              </w:rPr>
              <w:t>5.ISO45001或OHSAS18001职业健康安全管理体系认证（覆盖范围包括信息系统工程监理）</w:t>
            </w:r>
          </w:p>
          <w:p>
            <w:pPr>
              <w:pStyle w:val="7"/>
              <w:widowControl w:val="0"/>
              <w:jc w:val="both"/>
              <w:rPr>
                <w:rFonts w:ascii="宋体" w:hAnsi="宋体" w:cs="宋体"/>
                <w:sz w:val="21"/>
                <w:szCs w:val="21"/>
                <w:lang w:val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TW"/>
              </w:rPr>
              <w:t>每提供一个得1分最高5分，提供证明文件复印件加盖公章。否则不得分。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1.工程监理资质证书（机电安装工程专业）乙级或以上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2.工程设计资质证书（电子通信广电行业）乙级或以上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每提供一个得4分最高8分，提供证明文件复印件加盖公章。否则不得分。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1.具有监理管理系统计算机软件著作权登记证书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2.具有档案管理系统计算机软件著作权登记证书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3.具有项目合同管理系统计算机软件著作权登记证书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4.具有项目管理系统计算机软件著作权登记证书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每提供一个得1分最高得4分，提供证明文件复印件加盖公章。否则不得分。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企业业绩（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分）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年1月1日至今，以合同签订时间为准，具有信息系统监理服务项目业绩。具有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个及以上业绩，得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分，其他不得分；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提供合同关键页（包括但不限于封面、工作内容页、金额页、盖章签字页），复印件并加盖公章。否则不得分。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总监理工程师（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拟派总监理工程师代表须同时具有：①高级工程师证书；②信息系统工程监理师证书；③注册一级建造师证书；④注册监理工程师证书；</w:t>
            </w:r>
          </w:p>
          <w:p>
            <w:pPr>
              <w:tabs>
                <w:tab w:val="left" w:pos="567"/>
              </w:tabs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每有1项得2分，最多得8分。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此为总监理工程师代表必备条件，须提供证明材料复印件加盖公章。否则整项不得分。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总监理工程师代表（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拟派总监理工程师代表须具有：①硕士或以上学位；②高级工程师证书；③一级建造师证书；</w:t>
            </w:r>
            <w:bookmarkStart w:id="0" w:name="_Hlk91749030"/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④注册监理工程师证书</w:t>
            </w:r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；⑤注册ASE（智能建筑）证书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每有1项得1分，最多得5分。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此为总监理工程师代表必备条件，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须提供证明材料复印件加盖公章。否则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整项不得分。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监理团队（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）</w:t>
            </w: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监理团队成员（不含总监理工程、总监理工程代表）全部具有监理工程师上岗证（信息系统工程监理师证书或注册监理工程师证书），得2分；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除此之外应具有以下证书：信息系统项目管理师证书、PMP证书、CISP证书、注册一级建造师证书；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每有1项得1分，最多得4分。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注：以上证书每一项不重复计分，且需要提供以上证书复印件加盖公章（以上人员不可重复计算），否则不得分。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TW"/>
              </w:rPr>
              <w:t>提供证明材料复印件加盖公章。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</w:tbl>
    <w:p/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MWEKG+»ªÎÄÏ¸ºÚ">
    <w:altName w:val="微软雅黑"/>
    <w:panose1 w:val="00000000000000000000"/>
    <w:charset w:val="01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B2032D"/>
    <w:multiLevelType w:val="singleLevel"/>
    <w:tmpl w:val="47B203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D69778D"/>
    <w:rsid w:val="0D6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方正小标宋简体" w:cs="Tahom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customStyle="1" w:styleId="6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2023-09-07T06:01:00Z</dcterms:created>
  <dc:creator>云不生烟</dc:creator>
  <cp:lastModifiedBy>云不生烟</cp:lastModifiedBy>
  <dcterms:modified xsi:type="dcterms:W3CDTF">2023-09-07T06:01:32Z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29353221B60546F3A62E45072CE97970_11</vt:lpwstr>
  </property>
</Properties>
</file>