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sz w:val="44"/>
          <w:szCs w:val="44"/>
        </w:rPr>
        <w:t>内窥镜冲洗管</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rPr>
      </w:pPr>
      <w:r>
        <w:rPr>
          <w:rFonts w:hint="eastAsia" w:ascii="宋体" w:hAnsi="宋体" w:eastAsia="宋体" w:cs="宋体"/>
          <w:sz w:val="28"/>
          <w:szCs w:val="28"/>
        </w:rPr>
        <w:t>1.产品型号/规格及其说明</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rPr>
      </w:pPr>
      <w:r>
        <w:rPr>
          <w:rFonts w:hint="eastAsia" w:ascii="宋体" w:hAnsi="宋体" w:eastAsia="宋体" w:cs="宋体"/>
          <w:sz w:val="28"/>
          <w:szCs w:val="28"/>
        </w:rPr>
        <w:t>1.1型号规格分类</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冲洗管分别由清洗接口及保护套、软管、流量调</w:t>
      </w:r>
      <w:r>
        <w:rPr>
          <w:rFonts w:hint="eastAsia" w:ascii="宋体" w:hAnsi="宋体" w:eastAsia="宋体" w:cs="宋体"/>
          <w:sz w:val="28"/>
          <w:szCs w:val="28"/>
          <w:lang w:val="en-US" w:eastAsia="zh-CN"/>
        </w:rPr>
        <w:t>节器、滴斗、Y</w:t>
      </w:r>
      <w:r>
        <w:rPr>
          <w:rFonts w:hint="eastAsia" w:ascii="宋体" w:hAnsi="宋体" w:eastAsia="宋体" w:cs="宋体"/>
          <w:sz w:val="28"/>
          <w:szCs w:val="28"/>
        </w:rPr>
        <w:t>型三通、止流夹、瓶塞穿刺器及保护套、连接管组成。</w:t>
      </w:r>
    </w:p>
    <w:p>
      <w:pPr>
        <w:rPr>
          <w:rFonts w:hint="eastAsia" w:eastAsiaTheme="minorEastAsia"/>
          <w:lang w:eastAsia="zh-CN"/>
        </w:rPr>
      </w:pPr>
    </w:p>
    <w:p>
      <w:pPr>
        <w:rPr>
          <w:rFonts w:hint="eastAsia" w:eastAsiaTheme="minorEastAsia"/>
          <w:lang w:eastAsia="zh-CN"/>
        </w:rPr>
      </w:pPr>
      <w:r>
        <w:rPr>
          <w:rFonts w:hint="eastAsia" w:eastAsiaTheme="minorEastAsia"/>
          <w:lang w:eastAsia="zh-CN"/>
        </w:rPr>
        <w:drawing>
          <wp:inline distT="0" distB="0" distL="114300" distR="114300">
            <wp:extent cx="5979160" cy="4398645"/>
            <wp:effectExtent l="0" t="0" r="2540" b="1905"/>
            <wp:docPr id="1" name="图片 1" descr="内窥镜冲洗管技术要求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内窥镜冲洗管技术要求_1"/>
                    <pic:cNvPicPr>
                      <a:picLocks noChangeAspect="1"/>
                    </pic:cNvPicPr>
                  </pic:nvPicPr>
                  <pic:blipFill>
                    <a:blip r:embed="rId4"/>
                    <a:srcRect t="50340" r="5568"/>
                    <a:stretch>
                      <a:fillRect/>
                    </a:stretch>
                  </pic:blipFill>
                  <pic:spPr>
                    <a:xfrm>
                      <a:off x="0" y="0"/>
                      <a:ext cx="5979160" cy="439864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1.4冲洗管应符合本标准的要求，并按规定程序所批准的图样和技术文件制造</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1.5 材料</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冲洗管中，与药液接触的零部件有清洗接口、软管、滴斗、Y型三通、瓶塞穿刺器及连接管，其清洗接口、软管、滴斗、Y型三通及连接的材料均为医用级PVC材料制造，瓶塞穿刺器的材料为ABS材料制造。</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1.6经包装的冲洗管在遵守搬运、贮存的条件下有效期为二年。</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2.性能指标</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2.1 物理要求</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2.1.1 软管</w:t>
      </w:r>
    </w:p>
    <w:p>
      <w:pPr>
        <w:keepNext w:val="0"/>
        <w:keepLines w:val="0"/>
        <w:pageBreakBefore w:val="0"/>
        <w:widowControl w:val="0"/>
        <w:kinsoku/>
        <w:wordWrap/>
        <w:overflowPunct/>
        <w:topLinePunct w:val="0"/>
        <w:autoSpaceDE/>
        <w:autoSpaceDN/>
        <w:bidi w:val="0"/>
        <w:adjustRightInd/>
        <w:snapToGrid/>
        <w:spacing w:line="0" w:lineRule="atLeast"/>
        <w:ind w:left="420" w:hanging="560" w:hanging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2.1.1.1 软管应由软质材料制成，管子应塑化均</w:t>
      </w:r>
      <w:r>
        <w:rPr>
          <w:rFonts w:hint="eastAsia" w:ascii="宋体" w:hAnsi="宋体" w:eastAsia="宋体" w:cs="宋体"/>
          <w:sz w:val="28"/>
          <w:szCs w:val="28"/>
          <w:lang w:val="en-US" w:eastAsia="zh-CN"/>
        </w:rPr>
        <w:t>匀，并透明或足够透明，当有气</w:t>
      </w:r>
      <w:r>
        <w:rPr>
          <w:rFonts w:hint="eastAsia" w:ascii="宋体" w:hAnsi="宋体" w:eastAsia="宋体" w:cs="宋体"/>
          <w:sz w:val="28"/>
          <w:szCs w:val="28"/>
          <w:lang w:eastAsia="zh-CN"/>
        </w:rPr>
        <w:t>泡通过时，用正常或矫正视力可以发现水和空气的</w:t>
      </w:r>
      <w:r>
        <w:rPr>
          <w:rFonts w:hint="eastAsia" w:ascii="宋体" w:hAnsi="宋体" w:eastAsia="宋体" w:cs="宋体"/>
          <w:sz w:val="28"/>
          <w:szCs w:val="28"/>
          <w:lang w:val="en-US" w:eastAsia="zh-CN"/>
        </w:rPr>
        <w:t>分界面。</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2.1.1.2 软管的壁厚为 1.15±0.15mm，外径为 7.5±0.2mm。</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2.1.1.3 末端至滴斗的软管(包括清洗接口)的长度为1600+30mm。</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2.1.1.4 连接管的壁厚为 2+0.15mm，外径为 9.5±0.2mm。</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2.1.2流量调节器</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流量调节器应能调节液流从零至最大，其调节行程应不小于30mm。</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注:流量调节器应能在一次冲洗过程中持续使用而不损伤软管。流量调节器和软管接触</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在一起贮存时应不产生有害反应。</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2.1.3 滴斗</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2.1.3.1 滴斗应能清楚地观察液面</w:t>
      </w:r>
    </w:p>
    <w:p>
      <w:pPr>
        <w:keepNext w:val="0"/>
        <w:keepLines w:val="0"/>
        <w:pageBreakBefore w:val="0"/>
        <w:widowControl w:val="0"/>
        <w:kinsoku/>
        <w:wordWrap/>
        <w:overflowPunct/>
        <w:topLinePunct w:val="0"/>
        <w:autoSpaceDE/>
        <w:autoSpaceDN/>
        <w:bidi w:val="0"/>
        <w:adjustRightInd/>
        <w:snapToGrid/>
        <w:spacing w:line="0" w:lineRule="atLeast"/>
        <w:ind w:left="420" w:hanging="560" w:hanging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2.1.3.2 滴斗应能借助其弹性将液体容器中的药液引入冲洗管,其外体积应不小于 10cm'，壁厚平均不小于 0.7mm。</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2.1.4 止流夹</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软管上的止流夹在关闭时,应能有效地阻断不低于大气压强 50kPa 的气体流</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通。</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2.1.5瓶塞穿刺器</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应符合 GB 8368-2005中6.4的规定。</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2.1.6 保护套</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冲洗管终端的保护套应保持瓶塞穿刺器和清洗接口等接头内表面无菌，不应自然脱落并易于拆除。</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2.1.7 微粒污染</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产品每平方厘米的内表面积 15μm~25μm的微粒数不应超过1个/mL,大于25 μm的微粒数不应超过 0.5 个/mL。</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2.1.8 连接强度</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冲洗管各组件间的连接(不包括保护套)，应能承受15N 的静拉力，持续15s不分离。</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2.1.9 密封性</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冲洗管输入 100kPa 的气压持续 10s，应无气体泄漏现象。</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2.1.10 外观</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冲洗管外观应整洁光滑、透明、柔软，不应有飞</w:t>
      </w:r>
      <w:r>
        <w:rPr>
          <w:rFonts w:hint="eastAsia" w:ascii="宋体" w:hAnsi="宋体" w:eastAsia="宋体" w:cs="宋体"/>
          <w:sz w:val="28"/>
          <w:szCs w:val="28"/>
          <w:lang w:val="en-US" w:eastAsia="zh-CN"/>
        </w:rPr>
        <w:t>边、污渍、气泡、</w:t>
      </w:r>
      <w:r>
        <w:rPr>
          <w:rFonts w:hint="eastAsia" w:ascii="宋体" w:hAnsi="宋体" w:eastAsia="宋体" w:cs="宋体"/>
          <w:sz w:val="28"/>
          <w:szCs w:val="28"/>
          <w:lang w:eastAsia="zh-CN"/>
        </w:rPr>
        <w:t>裂纹、吸瘪等现象。</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2.2化学要求</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2.2.1还原物质(易氧化物)</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应符合 GB 8368-2005中7.1规定的要求。</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2.2.2 酸碱度</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应符合GB 8368-2005中7.3规定的要求。</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2.2.3 蒸发残渣</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应符合GB8368-2005中7.4规定的要求</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2.2.4 环氧乙烷残留量</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按 GB/T 14233.1 试验时，环氧乙烷残留量应不大于 10mg/kg。</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2.3生物要求</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2.3.1 无菌</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冲洗管应无菌。</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2.3.2 热原</w:t>
      </w:r>
    </w:p>
    <w:p>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应用适当的试验来评价冲洗管的致热性，结果应表明冲洗管无热原。</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检验方法</w:t>
      </w:r>
    </w:p>
    <w:p>
      <w:pPr>
        <w:keepNext w:val="0"/>
        <w:keepLines w:val="0"/>
        <w:pageBreakBefore w:val="0"/>
        <w:widowControl w:val="0"/>
        <w:numPr>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3.1物理要求</w:t>
      </w:r>
    </w:p>
    <w:p>
      <w:pPr>
        <w:keepNext w:val="0"/>
        <w:keepLines w:val="0"/>
        <w:pageBreakBefore w:val="0"/>
        <w:widowControl w:val="0"/>
        <w:numPr>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3.1.1 软管</w:t>
      </w:r>
    </w:p>
    <w:p>
      <w:pPr>
        <w:keepNext w:val="0"/>
        <w:keepLines w:val="0"/>
        <w:pageBreakBefore w:val="0"/>
        <w:widowControl w:val="0"/>
        <w:numPr>
          <w:numId w:val="0"/>
        </w:numPr>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用通用量具及目测方法检查，其结果应符合2.1.1中的要求。</w:t>
      </w:r>
    </w:p>
    <w:p>
      <w:pPr>
        <w:keepNext w:val="0"/>
        <w:keepLines w:val="0"/>
        <w:pageBreakBefore w:val="0"/>
        <w:widowControl w:val="0"/>
        <w:numPr>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3.1.2流量调节器</w:t>
      </w:r>
    </w:p>
    <w:p>
      <w:pPr>
        <w:keepNext w:val="0"/>
        <w:keepLines w:val="0"/>
        <w:pageBreakBefore w:val="0"/>
        <w:widowControl w:val="0"/>
        <w:numPr>
          <w:numId w:val="0"/>
        </w:numPr>
        <w:kinsoku/>
        <w:wordWrap/>
        <w:overflowPunct/>
        <w:topLinePunct w:val="0"/>
        <w:autoSpaceDE/>
        <w:autoSpaceDN/>
        <w:bidi w:val="0"/>
        <w:adjustRightInd/>
        <w:snapToGrid/>
        <w:spacing w:line="0" w:lineRule="atLeast"/>
        <w:ind w:left="559" w:leftChars="266"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将流量调节器的调节轮从流量调节器的最大端调至最小端，并反复来回10次，其结果应符合 2.1.2中的要求。</w:t>
      </w:r>
    </w:p>
    <w:p>
      <w:pPr>
        <w:keepNext w:val="0"/>
        <w:keepLines w:val="0"/>
        <w:pageBreakBefore w:val="0"/>
        <w:widowControl w:val="0"/>
        <w:numPr>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3.1.3 滴斗</w:t>
      </w:r>
    </w:p>
    <w:p>
      <w:pPr>
        <w:keepNext w:val="0"/>
        <w:keepLines w:val="0"/>
        <w:pageBreakBefore w:val="0"/>
        <w:widowControl w:val="0"/>
        <w:numPr>
          <w:numId w:val="0"/>
        </w:numPr>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用通用量具及目测方法检查，其结果应符合2.1.3中的要求。</w:t>
      </w:r>
    </w:p>
    <w:p>
      <w:pPr>
        <w:keepNext w:val="0"/>
        <w:keepLines w:val="0"/>
        <w:pageBreakBefore w:val="0"/>
        <w:widowControl w:val="0"/>
        <w:numPr>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3.1.4 止流夹</w:t>
      </w:r>
    </w:p>
    <w:p>
      <w:pPr>
        <w:keepNext w:val="0"/>
        <w:keepLines w:val="0"/>
        <w:pageBreakBefore w:val="0"/>
        <w:widowControl w:val="0"/>
        <w:numPr>
          <w:numId w:val="0"/>
        </w:numPr>
        <w:kinsoku/>
        <w:wordWrap/>
        <w:overflowPunct/>
        <w:topLinePunct w:val="0"/>
        <w:autoSpaceDE/>
        <w:autoSpaceDN/>
        <w:bidi w:val="0"/>
        <w:adjustRightInd/>
        <w:snapToGrid/>
        <w:spacing w:line="0" w:lineRule="atLeast"/>
        <w:ind w:left="559" w:leftChars="266"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压强 50kPa关闭止流夹以阻断软管的流通，当从清洗接口输入不低全漫态微的气体持续 10s，另一端出口浸入水中有无气泡逸出4中的要求。</w:t>
      </w:r>
    </w:p>
    <w:p>
      <w:pPr>
        <w:keepNext w:val="0"/>
        <w:keepLines w:val="0"/>
        <w:pageBreakBefore w:val="0"/>
        <w:widowControl w:val="0"/>
        <w:numPr>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3.1.5瓶塞穿刺器</w:t>
      </w:r>
    </w:p>
    <w:p>
      <w:pPr>
        <w:keepNext w:val="0"/>
        <w:keepLines w:val="0"/>
        <w:pageBreakBefore w:val="0"/>
        <w:widowControl w:val="0"/>
        <w:numPr>
          <w:numId w:val="0"/>
        </w:numPr>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用通用量具及目测方法检查，其结果应符合2.16</w:t>
      </w:r>
    </w:p>
    <w:p>
      <w:pPr>
        <w:keepNext w:val="0"/>
        <w:keepLines w:val="0"/>
        <w:pageBreakBefore w:val="0"/>
        <w:widowControl w:val="0"/>
        <w:numPr>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3.1.6 保护套</w:t>
      </w:r>
    </w:p>
    <w:p>
      <w:pPr>
        <w:keepNext w:val="0"/>
        <w:keepLines w:val="0"/>
        <w:pageBreakBefore w:val="0"/>
        <w:widowControl w:val="0"/>
        <w:numPr>
          <w:numId w:val="0"/>
        </w:numPr>
        <w:kinsoku/>
        <w:wordWrap/>
        <w:overflowPunct/>
        <w:topLinePunct w:val="0"/>
        <w:autoSpaceDE/>
        <w:autoSpaceDN/>
        <w:bidi w:val="0"/>
        <w:adjustRightInd/>
        <w:snapToGrid/>
        <w:spacing w:line="0" w:lineRule="atLeast"/>
        <w:ind w:left="559" w:leftChars="266"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将保护套分别套在瓶塞穿刺器及清洗接口上。用手握住软管抖动10次，然后用手拔掉。其结果应符合 2.1.6中的要求。</w:t>
      </w:r>
    </w:p>
    <w:p>
      <w:pPr>
        <w:keepNext w:val="0"/>
        <w:keepLines w:val="0"/>
        <w:pageBreakBefore w:val="0"/>
        <w:widowControl w:val="0"/>
        <w:numPr>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3.1.7 微粒污染</w:t>
      </w:r>
    </w:p>
    <w:p>
      <w:pPr>
        <w:keepNext w:val="0"/>
        <w:keepLines w:val="0"/>
        <w:pageBreakBefore w:val="0"/>
        <w:widowControl w:val="0"/>
        <w:numPr>
          <w:numId w:val="0"/>
        </w:numPr>
        <w:kinsoku/>
        <w:wordWrap/>
        <w:overflowPunct/>
        <w:topLinePunct w:val="0"/>
        <w:autoSpaceDE/>
        <w:autoSpaceDN/>
        <w:bidi w:val="0"/>
        <w:adjustRightInd/>
        <w:snapToGrid/>
        <w:spacing w:line="0" w:lineRule="atLeast"/>
        <w:ind w:left="559" w:leftChars="266"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按照 GB 19335-2003的附录A或其他等效方法进行测定,其结果应符合2.1.7中的要求。</w:t>
      </w:r>
    </w:p>
    <w:p>
      <w:pPr>
        <w:keepNext w:val="0"/>
        <w:keepLines w:val="0"/>
        <w:pageBreakBefore w:val="0"/>
        <w:widowControl w:val="0"/>
        <w:numPr>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3.1.8连接强度</w:t>
      </w:r>
    </w:p>
    <w:p>
      <w:pPr>
        <w:keepNext w:val="0"/>
        <w:keepLines w:val="0"/>
        <w:pageBreakBefore w:val="0"/>
        <w:widowControl w:val="0"/>
        <w:numPr>
          <w:numId w:val="0"/>
        </w:numPr>
        <w:kinsoku/>
        <w:wordWrap/>
        <w:overflowPunct/>
        <w:topLinePunct w:val="0"/>
        <w:autoSpaceDE/>
        <w:autoSpaceDN/>
        <w:bidi w:val="0"/>
        <w:adjustRightInd/>
        <w:snapToGrid/>
        <w:spacing w:line="0" w:lineRule="atLeast"/>
        <w:ind w:left="559" w:leftChars="266"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将冲洗管上的清洗接口端挂在吊钩上固定住，另一端悬挂 15N静态的物体持续 15s，观察其结果应符合2.1.8中的要求。3.1.9 密封性</w:t>
      </w:r>
    </w:p>
    <w:p>
      <w:pPr>
        <w:keepNext w:val="0"/>
        <w:keepLines w:val="0"/>
        <w:pageBreakBefore w:val="0"/>
        <w:widowControl w:val="0"/>
        <w:numPr>
          <w:numId w:val="0"/>
        </w:numPr>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将冲洗管一端封口，浸入 20℃~30℃的水中，从另一端输入压力为100kPa的气姳呻想压，匭记目测观察水面有无气泡逸出，其结果应符合2.1.9中的要求。3.1.10 外观</w:t>
      </w:r>
    </w:p>
    <w:p>
      <w:pPr>
        <w:keepNext w:val="0"/>
        <w:keepLines w:val="0"/>
        <w:pageBreakBefore w:val="0"/>
        <w:widowControl w:val="0"/>
        <w:numPr>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手感目测，应符合 2.1.10 中的要求。</w:t>
      </w:r>
    </w:p>
    <w:p>
      <w:pPr>
        <w:keepNext w:val="0"/>
        <w:keepLines w:val="0"/>
        <w:pageBreakBefore w:val="0"/>
        <w:widowControl w:val="0"/>
        <w:numPr>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3.2化学要求</w:t>
      </w:r>
    </w:p>
    <w:p>
      <w:pPr>
        <w:keepNext w:val="0"/>
        <w:keepLines w:val="0"/>
        <w:pageBreakBefore w:val="0"/>
        <w:widowControl w:val="0"/>
        <w:numPr>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3.2.1还原物质(易氧化物)</w:t>
      </w:r>
    </w:p>
    <w:p>
      <w:pPr>
        <w:keepNext w:val="0"/>
        <w:keepLines w:val="0"/>
        <w:pageBreakBefore w:val="0"/>
        <w:widowControl w:val="0"/>
        <w:numPr>
          <w:numId w:val="0"/>
        </w:numPr>
        <w:kinsoku/>
        <w:wordWrap/>
        <w:overflowPunct/>
        <w:topLinePunct w:val="0"/>
        <w:autoSpaceDE/>
        <w:autoSpaceDN/>
        <w:bidi w:val="0"/>
        <w:adjustRightInd/>
        <w:snapToGrid/>
        <w:spacing w:line="0" w:lineRule="atLeast"/>
        <w:ind w:left="559" w:leftChars="266"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应符合GB8368-2005中附录B规定的方法进行，其结果应符合2.2.1中的要求。</w:t>
      </w:r>
    </w:p>
    <w:p>
      <w:pPr>
        <w:keepNext w:val="0"/>
        <w:keepLines w:val="0"/>
        <w:pageBreakBefore w:val="0"/>
        <w:widowControl w:val="0"/>
        <w:numPr>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3.2.2酸碱度</w:t>
      </w:r>
    </w:p>
    <w:p>
      <w:pPr>
        <w:keepNext w:val="0"/>
        <w:keepLines w:val="0"/>
        <w:pageBreakBefore w:val="0"/>
        <w:widowControl w:val="0"/>
        <w:numPr>
          <w:numId w:val="0"/>
        </w:numPr>
        <w:kinsoku/>
        <w:wordWrap/>
        <w:overflowPunct/>
        <w:topLinePunct w:val="0"/>
        <w:autoSpaceDE/>
        <w:autoSpaceDN/>
        <w:bidi w:val="0"/>
        <w:adjustRightInd/>
        <w:snapToGrid/>
        <w:spacing w:line="0" w:lineRule="atLeast"/>
        <w:ind w:left="559" w:leftChars="266"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应符合GB8368-2005中附录B规定的方法进行，其结果应符合2.2.2中的要求。</w:t>
      </w:r>
    </w:p>
    <w:p>
      <w:pPr>
        <w:keepNext w:val="0"/>
        <w:keepLines w:val="0"/>
        <w:pageBreakBefore w:val="0"/>
        <w:widowControl w:val="0"/>
        <w:numPr>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3.2.3 蒸发残渣</w:t>
      </w:r>
    </w:p>
    <w:p>
      <w:pPr>
        <w:keepNext w:val="0"/>
        <w:keepLines w:val="0"/>
        <w:pageBreakBefore w:val="0"/>
        <w:widowControl w:val="0"/>
        <w:numPr>
          <w:numId w:val="0"/>
        </w:numPr>
        <w:kinsoku/>
        <w:wordWrap/>
        <w:overflowPunct/>
        <w:topLinePunct w:val="0"/>
        <w:autoSpaceDE/>
        <w:autoSpaceDN/>
        <w:bidi w:val="0"/>
        <w:adjustRightInd/>
        <w:snapToGrid/>
        <w:spacing w:line="0" w:lineRule="atLeast"/>
        <w:ind w:left="559" w:leftChars="266"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应符合GB8368-2005中附录B规定的方法进行，其结果应符合2.2.3中的要求。</w:t>
      </w:r>
    </w:p>
    <w:p>
      <w:pPr>
        <w:keepNext w:val="0"/>
        <w:keepLines w:val="0"/>
        <w:pageBreakBefore w:val="0"/>
        <w:widowControl w:val="0"/>
        <w:numPr>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3.2.4 环氧乙烷残留量</w:t>
      </w:r>
    </w:p>
    <w:p>
      <w:pPr>
        <w:keepNext w:val="0"/>
        <w:keepLines w:val="0"/>
        <w:pageBreakBefore w:val="0"/>
        <w:widowControl w:val="0"/>
        <w:numPr>
          <w:numId w:val="0"/>
        </w:numPr>
        <w:kinsoku/>
        <w:wordWrap/>
        <w:overflowPunct/>
        <w:topLinePunct w:val="0"/>
        <w:autoSpaceDE/>
        <w:autoSpaceDN/>
        <w:bidi w:val="0"/>
        <w:adjustRightInd/>
        <w:snapToGrid/>
        <w:spacing w:line="0" w:lineRule="atLeast"/>
        <w:ind w:left="559" w:leftChars="266"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按 GB/T 14233.1-2008 中规定的方法进行试验，</w:t>
      </w:r>
      <w:r>
        <w:rPr>
          <w:rFonts w:hint="eastAsia" w:ascii="宋体" w:hAnsi="宋体" w:eastAsia="宋体" w:cs="宋体"/>
          <w:sz w:val="28"/>
          <w:szCs w:val="28"/>
          <w:lang w:val="en-US" w:eastAsia="zh-CN"/>
        </w:rPr>
        <w:t>其结果应符合2.2.4中的要求。</w:t>
      </w:r>
    </w:p>
    <w:p>
      <w:pPr>
        <w:keepNext w:val="0"/>
        <w:keepLines w:val="0"/>
        <w:pageBreakBefore w:val="0"/>
        <w:widowControl w:val="0"/>
        <w:numPr>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3.3生物要求</w:t>
      </w:r>
    </w:p>
    <w:p>
      <w:pPr>
        <w:keepNext w:val="0"/>
        <w:keepLines w:val="0"/>
        <w:pageBreakBefore w:val="0"/>
        <w:widowControl w:val="0"/>
        <w:numPr>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3.3.1 无菌</w:t>
      </w:r>
    </w:p>
    <w:p>
      <w:pPr>
        <w:keepNext w:val="0"/>
        <w:keepLines w:val="0"/>
        <w:pageBreakBefore w:val="0"/>
        <w:widowControl w:val="0"/>
        <w:numPr>
          <w:numId w:val="0"/>
        </w:numPr>
        <w:kinsoku/>
        <w:wordWrap/>
        <w:overflowPunct/>
        <w:topLinePunct w:val="0"/>
        <w:autoSpaceDE/>
        <w:autoSpaceDN/>
        <w:bidi w:val="0"/>
        <w:adjustRightInd/>
        <w:snapToGrid/>
        <w:spacing w:line="0" w:lineRule="atLeast"/>
        <w:ind w:left="559" w:leftChars="133" w:hanging="280" w:hanging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应按《中国药典》2015版第四部中规定的方法进行，其结果应</w:t>
      </w:r>
      <w:bookmarkStart w:id="0" w:name="_GoBack"/>
      <w:bookmarkEnd w:id="0"/>
      <w:r>
        <w:rPr>
          <w:rFonts w:hint="eastAsia" w:ascii="宋体" w:hAnsi="宋体" w:eastAsia="宋体" w:cs="宋体"/>
          <w:sz w:val="28"/>
          <w:szCs w:val="28"/>
          <w:lang w:eastAsia="zh-CN"/>
        </w:rPr>
        <w:t>合2.2.1中的要求。</w:t>
      </w:r>
    </w:p>
    <w:p>
      <w:pPr>
        <w:keepNext w:val="0"/>
        <w:keepLines w:val="0"/>
        <w:pageBreakBefore w:val="0"/>
        <w:widowControl w:val="0"/>
        <w:numPr>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3.3.2热原</w:t>
      </w:r>
    </w:p>
    <w:p>
      <w:pPr>
        <w:keepNext w:val="0"/>
        <w:keepLines w:val="0"/>
        <w:pageBreakBefore w:val="0"/>
        <w:widowControl w:val="0"/>
        <w:numPr>
          <w:numId w:val="0"/>
        </w:numPr>
        <w:kinsoku/>
        <w:wordWrap/>
        <w:overflowPunct/>
        <w:topLinePunct w:val="0"/>
        <w:autoSpaceDE/>
        <w:autoSpaceDN/>
        <w:bidi w:val="0"/>
        <w:adjustRightInd/>
        <w:snapToGrid/>
        <w:spacing w:line="0" w:lineRule="atLeast"/>
        <w:ind w:left="559" w:leftChars="266"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应按 GB/T 14233.2-2005 中给出的热原的试验方法进行，(取同一批号的内窥镜冲洗管3付，产品在无菌条件下，每付内窥镜冲洗管内腔注入0.9%氯化注射液不超过 80m1，两端密封后反复荡洗5次，置(37±1)℃恒温箱中保温 2h，取出后将供试液汇集至一无菌无热原具塞玻璃容器内，作为供试液(供试液贮存不超过 2h)。)应无致热原。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CFCBF3"/>
    <w:multiLevelType w:val="singleLevel"/>
    <w:tmpl w:val="59CFCBF3"/>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617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2025-10-23T02:52:35Z</dcterms:created>
  <dc:creator>Administrator</dc:creator>
  <cp:lastModifiedBy>Administrator</cp:lastModifiedBy>
  <dcterms:modified xsi:type="dcterms:W3CDTF">2025-10-23T08:03:25Z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2052-11.8.2.11707</vt:lpwstr>
  </property>
  <property fmtid="{D5CDD505-2E9C-101B-9397-08002B2CF9AE}" pid="3" name="ICV">
    <vt:lpwstr>BEA66D4C138543FFA2C125AAFE439272</vt:lpwstr>
  </property>
</Properties>
</file>